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53C8" w14:textId="2A7F2263" w:rsidR="001E77CA" w:rsidRDefault="00D36A37" w:rsidP="001E77C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</w:t>
      </w:r>
      <w:r w:rsidR="001E77CA" w:rsidRPr="001E77CA">
        <w:rPr>
          <w:b/>
          <w:sz w:val="28"/>
          <w:szCs w:val="28"/>
          <w:u w:val="single"/>
        </w:rPr>
        <w:t>ex II</w:t>
      </w:r>
    </w:p>
    <w:p w14:paraId="6A56FB6A" w14:textId="6A53B774" w:rsidR="00467220" w:rsidRDefault="00467220" w:rsidP="001E77CA">
      <w:pPr>
        <w:jc w:val="both"/>
        <w:rPr>
          <w:b/>
          <w:sz w:val="28"/>
          <w:szCs w:val="28"/>
          <w:u w:val="single"/>
        </w:rPr>
      </w:pPr>
    </w:p>
    <w:p w14:paraId="28B1DF85" w14:textId="77777777" w:rsidR="006459F7" w:rsidRDefault="006459F7" w:rsidP="001E77CA">
      <w:pPr>
        <w:jc w:val="both"/>
        <w:rPr>
          <w:b/>
          <w:sz w:val="28"/>
          <w:szCs w:val="28"/>
          <w:u w:val="single"/>
        </w:rPr>
      </w:pPr>
    </w:p>
    <w:p w14:paraId="0A2D99CD" w14:textId="6A6F6055" w:rsidR="00D36A37" w:rsidRPr="00C4199B" w:rsidRDefault="00D36A37" w:rsidP="00D36A37">
      <w:pPr>
        <w:rPr>
          <w:bCs/>
          <w:sz w:val="24"/>
          <w:szCs w:val="24"/>
        </w:rPr>
      </w:pPr>
      <w:bookmarkStart w:id="0" w:name="_Hlk525585843"/>
      <w:r w:rsidRPr="00C4199B">
        <w:rPr>
          <w:b/>
          <w:color w:val="000000"/>
          <w:sz w:val="24"/>
          <w:szCs w:val="24"/>
          <w:u w:val="single"/>
        </w:rPr>
        <w:t>Subscriptions</w:t>
      </w:r>
    </w:p>
    <w:p w14:paraId="1271F26A" w14:textId="77777777" w:rsidR="00D36A37" w:rsidRPr="00541B50" w:rsidRDefault="00D36A37" w:rsidP="00D36A37">
      <w:pPr>
        <w:rPr>
          <w:b/>
          <w:color w:val="000000"/>
          <w:u w:val="single"/>
        </w:rPr>
      </w:pPr>
    </w:p>
    <w:p w14:paraId="386D950A" w14:textId="359C6480" w:rsidR="00D36A37" w:rsidRPr="00541B50" w:rsidRDefault="00D36A37" w:rsidP="00D36A37">
      <w:pPr>
        <w:rPr>
          <w:color w:val="000000"/>
        </w:rPr>
      </w:pPr>
      <w:r w:rsidRPr="00541B50">
        <w:rPr>
          <w:color w:val="000000"/>
        </w:rPr>
        <w:t>The retiring Management Committee is recommending that “Subscriptions for the various categories of Membership for the year 20</w:t>
      </w:r>
      <w:r w:rsidR="00565B10" w:rsidRPr="00541B50">
        <w:rPr>
          <w:color w:val="000000"/>
        </w:rPr>
        <w:t>2</w:t>
      </w:r>
      <w:r w:rsidR="00943444">
        <w:rPr>
          <w:color w:val="000000"/>
        </w:rPr>
        <w:t>2</w:t>
      </w:r>
      <w:r w:rsidRPr="00541B50">
        <w:rPr>
          <w:color w:val="000000"/>
        </w:rPr>
        <w:t>-20</w:t>
      </w:r>
      <w:r w:rsidR="00FA4317" w:rsidRPr="00541B50">
        <w:rPr>
          <w:color w:val="000000"/>
        </w:rPr>
        <w:t>2</w:t>
      </w:r>
      <w:r w:rsidR="00943444">
        <w:rPr>
          <w:color w:val="000000"/>
        </w:rPr>
        <w:t>3</w:t>
      </w:r>
      <w:r w:rsidRPr="00541B50">
        <w:rPr>
          <w:color w:val="000000"/>
        </w:rPr>
        <w:t xml:space="preserve"> shall be </w:t>
      </w:r>
      <w:r w:rsidR="00EC28EF">
        <w:rPr>
          <w:color w:val="000000"/>
        </w:rPr>
        <w:t xml:space="preserve">unchanged </w:t>
      </w:r>
      <w:r w:rsidRPr="00541B50">
        <w:rPr>
          <w:color w:val="000000"/>
        </w:rPr>
        <w:t>as set out in the following table”.</w:t>
      </w:r>
    </w:p>
    <w:p w14:paraId="35849E1E" w14:textId="3BB2B4D9" w:rsidR="007645D5" w:rsidRDefault="007645D5" w:rsidP="00D36A37">
      <w:pPr>
        <w:rPr>
          <w:color w:val="000000"/>
          <w:sz w:val="22"/>
          <w:szCs w:val="22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318"/>
        <w:gridCol w:w="1438"/>
        <w:gridCol w:w="1702"/>
        <w:gridCol w:w="969"/>
        <w:gridCol w:w="1673"/>
        <w:gridCol w:w="839"/>
      </w:tblGrid>
      <w:tr w:rsidR="007645D5" w:rsidRPr="00737D8E" w14:paraId="2CFAEF18" w14:textId="77777777" w:rsidTr="00B03951">
        <w:trPr>
          <w:trHeight w:hRule="exact" w:val="624"/>
          <w:jc w:val="center"/>
        </w:trPr>
        <w:tc>
          <w:tcPr>
            <w:tcW w:w="1885" w:type="dxa"/>
            <w:shd w:val="clear" w:color="auto" w:fill="auto"/>
          </w:tcPr>
          <w:p w14:paraId="79CAD522" w14:textId="77777777" w:rsidR="007645D5" w:rsidRPr="00737D8E" w:rsidRDefault="007645D5" w:rsidP="0040444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458" w:type="dxa"/>
            <w:gridSpan w:val="3"/>
            <w:shd w:val="clear" w:color="auto" w:fill="auto"/>
          </w:tcPr>
          <w:p w14:paraId="755F60C0" w14:textId="77777777" w:rsidR="007645D5" w:rsidRPr="00737D8E" w:rsidRDefault="007645D5" w:rsidP="0040444C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737D8E">
              <w:rPr>
                <w:rFonts w:ascii="Arial" w:hAnsi="Arial" w:cs="Arial"/>
                <w:b/>
                <w:lang w:eastAsia="en-GB"/>
              </w:rPr>
              <w:t>Playing Membership</w:t>
            </w:r>
          </w:p>
          <w:p w14:paraId="670F9910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</w:p>
          <w:p w14:paraId="5C6FE9A1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</w:p>
          <w:p w14:paraId="4C62B821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</w:p>
          <w:p w14:paraId="023EA062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</w:p>
          <w:p w14:paraId="379B93A3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</w:p>
          <w:p w14:paraId="667BAB5B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69" w:type="dxa"/>
            <w:vMerge w:val="restart"/>
            <w:shd w:val="clear" w:color="auto" w:fill="auto"/>
          </w:tcPr>
          <w:p w14:paraId="3169BC6B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  <w:r w:rsidRPr="00737D8E">
              <w:rPr>
                <w:rFonts w:ascii="Arial" w:hAnsi="Arial" w:cs="Arial"/>
                <w:b/>
                <w:lang w:eastAsia="en-GB"/>
              </w:rPr>
              <w:t>Non-playing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auto"/>
          </w:tcPr>
          <w:p w14:paraId="406E2019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  <w:r w:rsidRPr="00737D8E">
              <w:rPr>
                <w:rFonts w:ascii="Arial" w:hAnsi="Arial" w:cs="Arial"/>
                <w:b/>
                <w:lang w:eastAsia="en-GB"/>
              </w:rPr>
              <w:t>Retired/Senior Citizen</w:t>
            </w:r>
          </w:p>
        </w:tc>
        <w:tc>
          <w:tcPr>
            <w:tcW w:w="839" w:type="dxa"/>
            <w:tcBorders>
              <w:bottom w:val="nil"/>
            </w:tcBorders>
          </w:tcPr>
          <w:p w14:paraId="5BD24702" w14:textId="77777777" w:rsidR="007645D5" w:rsidRPr="00737D8E" w:rsidRDefault="007645D5" w:rsidP="0040444C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All</w:t>
            </w:r>
          </w:p>
        </w:tc>
      </w:tr>
      <w:tr w:rsidR="003238C9" w:rsidRPr="00737D8E" w14:paraId="5A1E6949" w14:textId="77777777" w:rsidTr="00B03951">
        <w:trPr>
          <w:trHeight w:val="70"/>
          <w:jc w:val="center"/>
        </w:trPr>
        <w:tc>
          <w:tcPr>
            <w:tcW w:w="1885" w:type="dxa"/>
            <w:shd w:val="clear" w:color="auto" w:fill="auto"/>
          </w:tcPr>
          <w:p w14:paraId="31B33D9E" w14:textId="77777777" w:rsidR="007645D5" w:rsidRPr="00737D8E" w:rsidRDefault="007645D5" w:rsidP="0040444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auto"/>
          </w:tcPr>
          <w:p w14:paraId="444F9E54" w14:textId="77777777" w:rsidR="007645D5" w:rsidRPr="00737D8E" w:rsidRDefault="007645D5" w:rsidP="0040444C">
            <w:pPr>
              <w:jc w:val="center"/>
              <w:rPr>
                <w:rFonts w:ascii="Arial" w:hAnsi="Arial" w:cs="Arial"/>
                <w:lang w:eastAsia="en-GB"/>
              </w:rPr>
            </w:pPr>
            <w:r w:rsidRPr="00737D8E">
              <w:rPr>
                <w:rFonts w:ascii="Arial" w:hAnsi="Arial" w:cs="Arial"/>
                <w:lang w:eastAsia="en-GB"/>
              </w:rPr>
              <w:t>Full playing</w:t>
            </w:r>
          </w:p>
        </w:tc>
        <w:tc>
          <w:tcPr>
            <w:tcW w:w="1438" w:type="dxa"/>
            <w:shd w:val="clear" w:color="auto" w:fill="auto"/>
          </w:tcPr>
          <w:p w14:paraId="3D79E4BE" w14:textId="77777777" w:rsidR="007645D5" w:rsidRPr="00737D8E" w:rsidRDefault="007645D5" w:rsidP="0040444C">
            <w:pPr>
              <w:rPr>
                <w:rFonts w:ascii="Arial" w:hAnsi="Arial" w:cs="Arial"/>
                <w:lang w:eastAsia="en-GB"/>
              </w:rPr>
            </w:pPr>
            <w:r w:rsidRPr="00737D8E">
              <w:rPr>
                <w:rFonts w:ascii="Arial" w:hAnsi="Arial" w:cs="Arial"/>
                <w:lang w:eastAsia="en-GB"/>
              </w:rPr>
              <w:t>Part time, education &amp; working</w:t>
            </w:r>
          </w:p>
        </w:tc>
        <w:tc>
          <w:tcPr>
            <w:tcW w:w="1702" w:type="dxa"/>
            <w:shd w:val="clear" w:color="auto" w:fill="auto"/>
          </w:tcPr>
          <w:p w14:paraId="084919E7" w14:textId="77777777" w:rsidR="007645D5" w:rsidRPr="00737D8E" w:rsidRDefault="007645D5" w:rsidP="0040444C">
            <w:pPr>
              <w:rPr>
                <w:rFonts w:ascii="Arial" w:hAnsi="Arial" w:cs="Arial"/>
                <w:lang w:eastAsia="en-GB"/>
              </w:rPr>
            </w:pPr>
            <w:r w:rsidRPr="00737D8E">
              <w:rPr>
                <w:rFonts w:ascii="Arial" w:hAnsi="Arial" w:cs="Arial"/>
                <w:lang w:eastAsia="en-GB"/>
              </w:rPr>
              <w:t>Unemployed or in full time education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auto"/>
          </w:tcPr>
          <w:p w14:paraId="77737454" w14:textId="77777777" w:rsidR="007645D5" w:rsidRPr="00737D8E" w:rsidRDefault="007645D5" w:rsidP="0040444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</w:tcPr>
          <w:p w14:paraId="2342AA50" w14:textId="77777777" w:rsidR="007645D5" w:rsidRPr="00737D8E" w:rsidRDefault="007645D5" w:rsidP="0040444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14:paraId="4F8C72D6" w14:textId="77777777" w:rsidR="007645D5" w:rsidRPr="00737D8E" w:rsidRDefault="007645D5" w:rsidP="0040444C">
            <w:pPr>
              <w:rPr>
                <w:rFonts w:ascii="Arial" w:hAnsi="Arial" w:cs="Arial"/>
                <w:lang w:eastAsia="en-GB"/>
              </w:rPr>
            </w:pPr>
          </w:p>
        </w:tc>
      </w:tr>
      <w:tr w:rsidR="003238C9" w:rsidRPr="00737D8E" w14:paraId="069163F7" w14:textId="77777777" w:rsidTr="00B03951">
        <w:trPr>
          <w:trHeight w:val="454"/>
          <w:jc w:val="center"/>
        </w:trPr>
        <w:tc>
          <w:tcPr>
            <w:tcW w:w="1885" w:type="dxa"/>
            <w:shd w:val="clear" w:color="auto" w:fill="auto"/>
          </w:tcPr>
          <w:p w14:paraId="5BBA04C9" w14:textId="77777777" w:rsidR="007645D5" w:rsidRPr="00737D8E" w:rsidRDefault="007645D5" w:rsidP="0040444C">
            <w:pPr>
              <w:rPr>
                <w:rFonts w:ascii="Arial" w:hAnsi="Arial" w:cs="Arial"/>
                <w:lang w:eastAsia="en-GB"/>
              </w:rPr>
            </w:pPr>
            <w:r w:rsidRPr="00737D8E">
              <w:rPr>
                <w:rFonts w:ascii="Arial" w:hAnsi="Arial" w:cs="Arial"/>
                <w:lang w:eastAsia="en-GB"/>
              </w:rPr>
              <w:t>Full Member</w:t>
            </w:r>
          </w:p>
        </w:tc>
        <w:tc>
          <w:tcPr>
            <w:tcW w:w="1318" w:type="dxa"/>
            <w:shd w:val="clear" w:color="auto" w:fill="auto"/>
          </w:tcPr>
          <w:p w14:paraId="0A56891C" w14:textId="77777777" w:rsidR="007645D5" w:rsidRPr="002944BD" w:rsidRDefault="007645D5" w:rsidP="0040444C">
            <w:pPr>
              <w:spacing w:before="120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£160</w:t>
            </w:r>
          </w:p>
        </w:tc>
        <w:tc>
          <w:tcPr>
            <w:tcW w:w="1438" w:type="dxa"/>
            <w:shd w:val="clear" w:color="auto" w:fill="auto"/>
          </w:tcPr>
          <w:p w14:paraId="34D6B4D7" w14:textId="77777777" w:rsidR="007645D5" w:rsidRPr="002944BD" w:rsidRDefault="007645D5" w:rsidP="0040444C">
            <w:pPr>
              <w:spacing w:before="120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£90</w:t>
            </w:r>
          </w:p>
        </w:tc>
        <w:tc>
          <w:tcPr>
            <w:tcW w:w="1702" w:type="dxa"/>
            <w:shd w:val="clear" w:color="auto" w:fill="auto"/>
          </w:tcPr>
          <w:p w14:paraId="2BE46264" w14:textId="77777777" w:rsidR="007645D5" w:rsidRPr="002944BD" w:rsidRDefault="007645D5" w:rsidP="0040444C">
            <w:pPr>
              <w:spacing w:before="120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£65</w:t>
            </w:r>
          </w:p>
        </w:tc>
        <w:tc>
          <w:tcPr>
            <w:tcW w:w="969" w:type="dxa"/>
            <w:shd w:val="clear" w:color="auto" w:fill="auto"/>
          </w:tcPr>
          <w:p w14:paraId="739F5856" w14:textId="77777777" w:rsidR="007645D5" w:rsidRPr="002944BD" w:rsidRDefault="007645D5" w:rsidP="0040444C">
            <w:pPr>
              <w:spacing w:before="120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£65</w:t>
            </w:r>
          </w:p>
        </w:tc>
        <w:tc>
          <w:tcPr>
            <w:tcW w:w="1673" w:type="dxa"/>
            <w:shd w:val="clear" w:color="auto" w:fill="auto"/>
          </w:tcPr>
          <w:p w14:paraId="430CDC6B" w14:textId="77777777" w:rsidR="007645D5" w:rsidRPr="002944BD" w:rsidRDefault="007645D5" w:rsidP="0040444C">
            <w:pPr>
              <w:spacing w:before="120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£35</w:t>
            </w:r>
          </w:p>
        </w:tc>
        <w:tc>
          <w:tcPr>
            <w:tcW w:w="839" w:type="dxa"/>
          </w:tcPr>
          <w:p w14:paraId="5F70D467" w14:textId="77777777" w:rsidR="007645D5" w:rsidRPr="002944BD" w:rsidRDefault="007645D5" w:rsidP="0040444C">
            <w:pPr>
              <w:spacing w:before="12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853F8D" w:rsidRPr="00737D8E" w14:paraId="0D4F2861" w14:textId="77777777" w:rsidTr="00B03951">
        <w:trPr>
          <w:trHeight w:hRule="exact" w:val="313"/>
          <w:jc w:val="center"/>
        </w:trPr>
        <w:tc>
          <w:tcPr>
            <w:tcW w:w="1885" w:type="dxa"/>
            <w:tcBorders>
              <w:bottom w:val="nil"/>
            </w:tcBorders>
            <w:shd w:val="clear" w:color="auto" w:fill="auto"/>
          </w:tcPr>
          <w:p w14:paraId="12B4A777" w14:textId="77777777" w:rsidR="00853F8D" w:rsidRPr="00737D8E" w:rsidRDefault="00853F8D" w:rsidP="00853F8D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Associate Member </w:t>
            </w:r>
          </w:p>
        </w:tc>
        <w:tc>
          <w:tcPr>
            <w:tcW w:w="1318" w:type="dxa"/>
            <w:tcBorders>
              <w:bottom w:val="nil"/>
            </w:tcBorders>
            <w:shd w:val="clear" w:color="auto" w:fill="A6A6A6"/>
          </w:tcPr>
          <w:p w14:paraId="5369C27F" w14:textId="77777777" w:rsidR="00853F8D" w:rsidRPr="00737D8E" w:rsidRDefault="00853F8D" w:rsidP="00853F8D">
            <w:pPr>
              <w:spacing w:before="100" w:beforeAutospacing="1"/>
              <w:jc w:val="both"/>
              <w:rPr>
                <w:rFonts w:ascii="Arial" w:hAnsi="Arial" w:cs="Arial"/>
                <w:lang w:eastAsia="en-GB"/>
              </w:rPr>
            </w:pPr>
          </w:p>
          <w:p w14:paraId="1B575A7B" w14:textId="77777777" w:rsidR="00853F8D" w:rsidRPr="00737D8E" w:rsidRDefault="00853F8D" w:rsidP="00853F8D">
            <w:pPr>
              <w:spacing w:before="100" w:beforeAutospacing="1"/>
              <w:jc w:val="both"/>
              <w:rPr>
                <w:rFonts w:ascii="Arial" w:hAnsi="Arial" w:cs="Arial"/>
                <w:lang w:eastAsia="en-GB"/>
              </w:rPr>
            </w:pPr>
          </w:p>
          <w:p w14:paraId="0136DA15" w14:textId="77777777" w:rsidR="00853F8D" w:rsidRPr="00737D8E" w:rsidRDefault="00853F8D" w:rsidP="00853F8D">
            <w:pPr>
              <w:jc w:val="both"/>
              <w:rPr>
                <w:rFonts w:ascii="Arial" w:hAnsi="Arial" w:cs="Arial"/>
                <w:lang w:eastAsia="en-GB"/>
              </w:rPr>
            </w:pPr>
          </w:p>
          <w:p w14:paraId="37894491" w14:textId="77777777" w:rsidR="00853F8D" w:rsidRPr="002944BD" w:rsidRDefault="00853F8D" w:rsidP="00853F8D">
            <w:pPr>
              <w:spacing w:before="120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1438" w:type="dxa"/>
            <w:tcBorders>
              <w:bottom w:val="nil"/>
            </w:tcBorders>
            <w:shd w:val="clear" w:color="auto" w:fill="A6A6A6"/>
          </w:tcPr>
          <w:p w14:paraId="28183B54" w14:textId="77777777" w:rsidR="00853F8D" w:rsidRPr="002944BD" w:rsidRDefault="00853F8D" w:rsidP="00853F8D">
            <w:pPr>
              <w:spacing w:before="120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1702" w:type="dxa"/>
            <w:vMerge w:val="restart"/>
            <w:shd w:val="clear" w:color="auto" w:fill="A6A6A6"/>
          </w:tcPr>
          <w:p w14:paraId="44A8D863" w14:textId="77777777" w:rsidR="00853F8D" w:rsidRPr="002944BD" w:rsidRDefault="00853F8D" w:rsidP="00853F8D">
            <w:pPr>
              <w:spacing w:before="100" w:beforeAutospacing="1"/>
              <w:rPr>
                <w:rFonts w:ascii="Arial" w:hAnsi="Arial" w:cs="Arial"/>
                <w:bCs/>
                <w:lang w:eastAsia="en-GB"/>
              </w:rPr>
            </w:pPr>
          </w:p>
          <w:p w14:paraId="1C8223C3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Cs/>
                <w:lang w:eastAsia="en-GB"/>
              </w:rPr>
            </w:pPr>
          </w:p>
          <w:p w14:paraId="47A2A27E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969" w:type="dxa"/>
            <w:vMerge w:val="restart"/>
            <w:shd w:val="clear" w:color="auto" w:fill="A6A6A6"/>
          </w:tcPr>
          <w:p w14:paraId="45408D85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88207AC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0F6D41F4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D87F9C4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1485C306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£,</w:t>
            </w:r>
          </w:p>
          <w:p w14:paraId="6A978988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28403C4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£35</w:t>
            </w:r>
          </w:p>
          <w:p w14:paraId="2D915C7B" w14:textId="77777777" w:rsidR="00853F8D" w:rsidRPr="002944BD" w:rsidRDefault="00853F8D" w:rsidP="00853F8D">
            <w:pPr>
              <w:spacing w:before="120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 xml:space="preserve">       </w:t>
            </w:r>
          </w:p>
          <w:p w14:paraId="3C95B233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673" w:type="dxa"/>
            <w:vMerge w:val="restart"/>
            <w:shd w:val="clear" w:color="auto" w:fill="A6A6A6"/>
          </w:tcPr>
          <w:p w14:paraId="55E22E5C" w14:textId="77777777" w:rsidR="00853F8D" w:rsidRPr="002944BD" w:rsidRDefault="00853F8D" w:rsidP="00853F8D">
            <w:pPr>
              <w:spacing w:before="100" w:beforeAutospacing="1"/>
              <w:rPr>
                <w:rFonts w:ascii="Arial" w:hAnsi="Arial" w:cs="Arial"/>
                <w:b/>
                <w:lang w:eastAsia="en-GB"/>
              </w:rPr>
            </w:pPr>
          </w:p>
          <w:p w14:paraId="61196579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656BBEF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87485A8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1££1</w:t>
            </w:r>
          </w:p>
          <w:p w14:paraId="593862F5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“”””</w:t>
            </w:r>
          </w:p>
          <w:p w14:paraId="6339448B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£25</w:t>
            </w:r>
          </w:p>
          <w:p w14:paraId="270765C9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61D888F7" w14:textId="77777777" w:rsidR="00853F8D" w:rsidRPr="002944BD" w:rsidRDefault="00853F8D" w:rsidP="00853F8D">
            <w:pPr>
              <w:spacing w:before="100" w:beforeAutospacing="1" w:after="360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B0B475E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0ABDC09C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£25</w:t>
            </w:r>
          </w:p>
          <w:p w14:paraId="2C92E3E2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1A3D2C52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37DA09C0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42B4DAEC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F3F7736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30CD268A" w14:textId="77777777" w:rsidR="00853F8D" w:rsidRPr="002944BD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39" w:type="dxa"/>
            <w:vMerge w:val="restart"/>
            <w:shd w:val="clear" w:color="auto" w:fill="FFFFFF"/>
          </w:tcPr>
          <w:p w14:paraId="494C4064" w14:textId="5E7BFED4" w:rsidR="00853F8D" w:rsidRPr="002944BD" w:rsidRDefault="00853F8D" w:rsidP="00853F8D">
            <w:pPr>
              <w:spacing w:before="120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 xml:space="preserve">    </w:t>
            </w:r>
            <w:r w:rsidRPr="00853F8D">
              <w:rPr>
                <w:rFonts w:ascii="Arial" w:hAnsi="Arial" w:cs="Arial"/>
                <w:b/>
                <w:lang w:eastAsia="en-GB"/>
              </w:rPr>
              <w:t>£25</w:t>
            </w:r>
            <w:r w:rsidRPr="002944BD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 xml:space="preserve">      </w:t>
            </w:r>
          </w:p>
        </w:tc>
      </w:tr>
      <w:tr w:rsidR="00853F8D" w:rsidRPr="00737D8E" w14:paraId="194E22FB" w14:textId="77777777" w:rsidTr="00B03951">
        <w:trPr>
          <w:trHeight w:hRule="exact" w:val="227"/>
          <w:jc w:val="center"/>
        </w:trPr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14:paraId="7D5D2377" w14:textId="77777777" w:rsidR="00853F8D" w:rsidRPr="00737D8E" w:rsidRDefault="00853F8D" w:rsidP="00853F8D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6A6A6"/>
          </w:tcPr>
          <w:p w14:paraId="79269113" w14:textId="77777777" w:rsidR="00853F8D" w:rsidRPr="00737D8E" w:rsidRDefault="00853F8D" w:rsidP="00853F8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6A6A6"/>
          </w:tcPr>
          <w:p w14:paraId="5798880D" w14:textId="77777777" w:rsidR="00853F8D" w:rsidRPr="00737D8E" w:rsidRDefault="00853F8D" w:rsidP="00853F8D">
            <w:pPr>
              <w:jc w:val="center"/>
              <w:rPr>
                <w:rFonts w:ascii="Arial" w:hAnsi="Arial" w:cs="Arial"/>
                <w:lang w:eastAsia="en-GB"/>
              </w:rPr>
            </w:pPr>
          </w:p>
          <w:p w14:paraId="11A84832" w14:textId="77777777" w:rsidR="00853F8D" w:rsidRPr="00737D8E" w:rsidRDefault="00853F8D" w:rsidP="00853F8D">
            <w:pPr>
              <w:jc w:val="center"/>
              <w:rPr>
                <w:rFonts w:ascii="Arial" w:hAnsi="Arial" w:cs="Arial"/>
                <w:lang w:eastAsia="en-GB"/>
              </w:rPr>
            </w:pPr>
          </w:p>
          <w:p w14:paraId="7FE66819" w14:textId="77777777" w:rsidR="00853F8D" w:rsidRPr="00737D8E" w:rsidRDefault="00853F8D" w:rsidP="00853F8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2" w:type="dxa"/>
            <w:vMerge/>
            <w:shd w:val="clear" w:color="auto" w:fill="A6A6A6"/>
          </w:tcPr>
          <w:p w14:paraId="4534814A" w14:textId="77777777" w:rsidR="00853F8D" w:rsidRPr="00737D8E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14:paraId="0A50D79E" w14:textId="77777777" w:rsidR="00853F8D" w:rsidRPr="00737D8E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673" w:type="dxa"/>
            <w:vMerge/>
            <w:shd w:val="clear" w:color="auto" w:fill="A6A6A6"/>
          </w:tcPr>
          <w:p w14:paraId="5A6C72CE" w14:textId="77777777" w:rsidR="00853F8D" w:rsidRPr="00737D8E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14:paraId="0D7D41B3" w14:textId="77777777" w:rsidR="00853F8D" w:rsidRDefault="00853F8D" w:rsidP="00853F8D">
            <w:pPr>
              <w:spacing w:before="120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853F8D" w:rsidRPr="00737D8E" w14:paraId="1272A7F9" w14:textId="77777777" w:rsidTr="00B03951">
        <w:trPr>
          <w:trHeight w:hRule="exact" w:val="90"/>
          <w:jc w:val="center"/>
        </w:trPr>
        <w:tc>
          <w:tcPr>
            <w:tcW w:w="18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A0BE70" w14:textId="77777777" w:rsidR="00853F8D" w:rsidRPr="00737D8E" w:rsidRDefault="00853F8D" w:rsidP="00853F8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14:paraId="62B6C4EC" w14:textId="77777777" w:rsidR="00853F8D" w:rsidRPr="00737D8E" w:rsidRDefault="00853F8D" w:rsidP="00853F8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14:paraId="18AD83B4" w14:textId="77777777" w:rsidR="00853F8D" w:rsidRPr="00737D8E" w:rsidRDefault="00853F8D" w:rsidP="00853F8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6A6A6"/>
          </w:tcPr>
          <w:p w14:paraId="53A24E6E" w14:textId="77777777" w:rsidR="00853F8D" w:rsidRPr="00737D8E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A7BB17" w14:textId="77777777" w:rsidR="00853F8D" w:rsidRPr="00737D8E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6A6A6"/>
          </w:tcPr>
          <w:p w14:paraId="01C10EC4" w14:textId="77777777" w:rsidR="00853F8D" w:rsidRPr="00737D8E" w:rsidRDefault="00853F8D" w:rsidP="00853F8D">
            <w:pPr>
              <w:spacing w:before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6602B86" w14:textId="77777777" w:rsidR="00853F8D" w:rsidRPr="00737D8E" w:rsidRDefault="00853F8D" w:rsidP="00853F8D">
            <w:pPr>
              <w:spacing w:before="12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853F8D" w:rsidRPr="00737D8E" w14:paraId="7644F474" w14:textId="77777777" w:rsidTr="00B03951">
        <w:trPr>
          <w:trHeight w:hRule="exact" w:val="680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53A2C257" w14:textId="77777777" w:rsidR="00853F8D" w:rsidRPr="00737D8E" w:rsidRDefault="00853F8D" w:rsidP="00853F8D">
            <w:pPr>
              <w:rPr>
                <w:rFonts w:ascii="Arial" w:hAnsi="Arial" w:cs="Arial"/>
                <w:lang w:eastAsia="en-GB"/>
              </w:rPr>
            </w:pPr>
            <w:r w:rsidRPr="00737D8E">
              <w:rPr>
                <w:rFonts w:ascii="Arial" w:hAnsi="Arial" w:cs="Arial"/>
                <w:lang w:eastAsia="en-GB"/>
              </w:rPr>
              <w:t>Junior Member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6065701" w14:textId="77777777" w:rsidR="00853F8D" w:rsidRPr="00737D8E" w:rsidRDefault="00853F8D" w:rsidP="00853F8D">
            <w:pPr>
              <w:jc w:val="center"/>
              <w:rPr>
                <w:rFonts w:ascii="Arial" w:hAnsi="Arial" w:cs="Arial"/>
                <w:lang w:eastAsia="en-GB"/>
              </w:rPr>
            </w:pPr>
            <w:r w:rsidRPr="00737D8E">
              <w:rPr>
                <w:rFonts w:ascii="Arial" w:hAnsi="Arial" w:cs="Arial"/>
                <w:lang w:eastAsia="en-GB"/>
              </w:rPr>
              <w:t>Under 11</w:t>
            </w:r>
          </w:p>
          <w:p w14:paraId="5C447B35" w14:textId="77777777" w:rsidR="00853F8D" w:rsidRPr="002944BD" w:rsidRDefault="00853F8D" w:rsidP="00853F8D">
            <w:pPr>
              <w:rPr>
                <w:rFonts w:ascii="Arial" w:hAnsi="Arial" w:cs="Arial"/>
                <w:b/>
                <w:lang w:eastAsia="en-GB"/>
              </w:rPr>
            </w:pPr>
            <w:r w:rsidRPr="001E1C54">
              <w:rPr>
                <w:rFonts w:ascii="Arial" w:hAnsi="Arial" w:cs="Arial"/>
                <w:bCs/>
                <w:lang w:eastAsia="en-GB"/>
              </w:rPr>
              <w:t xml:space="preserve">     </w:t>
            </w:r>
            <w:r w:rsidRPr="002944BD">
              <w:rPr>
                <w:rFonts w:ascii="Arial" w:hAnsi="Arial" w:cs="Arial"/>
                <w:b/>
                <w:lang w:eastAsia="en-GB"/>
              </w:rPr>
              <w:t>£35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4A3782C9" w14:textId="77777777" w:rsidR="00853F8D" w:rsidRPr="00737D8E" w:rsidRDefault="00853F8D" w:rsidP="00853F8D">
            <w:pPr>
              <w:jc w:val="center"/>
              <w:rPr>
                <w:rFonts w:ascii="Arial" w:hAnsi="Arial" w:cs="Arial"/>
                <w:lang w:eastAsia="en-GB"/>
              </w:rPr>
            </w:pPr>
            <w:r w:rsidRPr="00737D8E">
              <w:rPr>
                <w:rFonts w:ascii="Arial" w:hAnsi="Arial" w:cs="Arial"/>
                <w:lang w:eastAsia="en-GB"/>
              </w:rPr>
              <w:t>Under 13</w:t>
            </w:r>
          </w:p>
          <w:p w14:paraId="4EA12D63" w14:textId="531D56C2" w:rsidR="00853F8D" w:rsidRPr="002944BD" w:rsidRDefault="00853F8D" w:rsidP="00853F8D">
            <w:pPr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 xml:space="preserve">      </w:t>
            </w:r>
            <w:r w:rsidR="00CB1B2D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2944BD">
              <w:rPr>
                <w:rFonts w:ascii="Arial" w:hAnsi="Arial" w:cs="Arial"/>
                <w:b/>
                <w:lang w:eastAsia="en-GB"/>
              </w:rPr>
              <w:t>£45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8571D0A" w14:textId="77777777" w:rsidR="00853F8D" w:rsidRPr="00737D8E" w:rsidRDefault="00853F8D" w:rsidP="00853F8D">
            <w:pPr>
              <w:jc w:val="center"/>
              <w:rPr>
                <w:rFonts w:ascii="Arial" w:hAnsi="Arial" w:cs="Arial"/>
                <w:lang w:eastAsia="en-GB"/>
              </w:rPr>
            </w:pPr>
            <w:r w:rsidRPr="00737D8E">
              <w:rPr>
                <w:rFonts w:ascii="Arial" w:hAnsi="Arial" w:cs="Arial"/>
                <w:lang w:eastAsia="en-GB"/>
              </w:rPr>
              <w:t>Under 18</w:t>
            </w:r>
          </w:p>
          <w:p w14:paraId="6101B597" w14:textId="77777777" w:rsidR="00853F8D" w:rsidRPr="002944BD" w:rsidRDefault="00853F8D" w:rsidP="00853F8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2944BD">
              <w:rPr>
                <w:rFonts w:ascii="Arial" w:hAnsi="Arial" w:cs="Arial"/>
                <w:b/>
                <w:lang w:eastAsia="en-GB"/>
              </w:rPr>
              <w:t>£55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6A6A6"/>
          </w:tcPr>
          <w:p w14:paraId="19A03B19" w14:textId="77777777" w:rsidR="00853F8D" w:rsidRPr="00737D8E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6A6A6"/>
          </w:tcPr>
          <w:p w14:paraId="3307EE5F" w14:textId="77777777" w:rsidR="00853F8D" w:rsidRPr="00737D8E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6A6A6"/>
          </w:tcPr>
          <w:p w14:paraId="52508681" w14:textId="77777777" w:rsidR="00853F8D" w:rsidRPr="00737D8E" w:rsidRDefault="00853F8D" w:rsidP="00853F8D">
            <w:pPr>
              <w:spacing w:before="100" w:beforeAutospacing="1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51D0BB67" w14:textId="77777777" w:rsidR="007645D5" w:rsidRPr="00D36A37" w:rsidRDefault="007645D5" w:rsidP="00D36A37">
      <w:pPr>
        <w:rPr>
          <w:color w:val="000000"/>
          <w:sz w:val="22"/>
          <w:szCs w:val="22"/>
        </w:rPr>
      </w:pPr>
    </w:p>
    <w:p w14:paraId="0718EDEB" w14:textId="505CF0C7" w:rsidR="00D36A37" w:rsidRPr="00541B50" w:rsidRDefault="00D36A37" w:rsidP="00D36A37">
      <w:pPr>
        <w:rPr>
          <w:lang w:eastAsia="en-GB"/>
        </w:rPr>
      </w:pPr>
      <w:r w:rsidRPr="00541B50">
        <w:rPr>
          <w:lang w:eastAsia="en-GB"/>
        </w:rPr>
        <w:t>Playing Members, excluding juniors, will receive a reduction of £10 if payment of subscriptions is made in full before 30th April 20</w:t>
      </w:r>
      <w:r w:rsidR="00FA4317" w:rsidRPr="00541B50">
        <w:rPr>
          <w:lang w:eastAsia="en-GB"/>
        </w:rPr>
        <w:t>2</w:t>
      </w:r>
      <w:r w:rsidR="0088663D">
        <w:rPr>
          <w:lang w:eastAsia="en-GB"/>
        </w:rPr>
        <w:t>3</w:t>
      </w:r>
      <w:r w:rsidRPr="00541B50">
        <w:rPr>
          <w:lang w:eastAsia="en-GB"/>
        </w:rPr>
        <w:t>.</w:t>
      </w:r>
    </w:p>
    <w:p w14:paraId="626C0964" w14:textId="77777777" w:rsidR="00D36A37" w:rsidRPr="00541B50" w:rsidRDefault="00D36A37" w:rsidP="00D36A37">
      <w:pPr>
        <w:rPr>
          <w:lang w:eastAsia="en-GB"/>
        </w:rPr>
      </w:pPr>
    </w:p>
    <w:p w14:paraId="65B123EF" w14:textId="17F4B6FD" w:rsidR="00D36A37" w:rsidRPr="00541B50" w:rsidRDefault="00D36A37" w:rsidP="00D36A37">
      <w:pPr>
        <w:rPr>
          <w:lang w:eastAsia="en-GB"/>
        </w:rPr>
      </w:pPr>
      <w:r w:rsidRPr="00541B50">
        <w:rPr>
          <w:lang w:eastAsia="en-GB"/>
        </w:rPr>
        <w:t>All subscriptions shall be due at midnight following the close of the Annual General Meeting and any member whose subscription remains unpaid after 30th April</w:t>
      </w:r>
      <w:r w:rsidR="000B5B41">
        <w:rPr>
          <w:lang w:eastAsia="en-GB"/>
        </w:rPr>
        <w:t xml:space="preserve"> 202</w:t>
      </w:r>
      <w:r w:rsidR="0088663D">
        <w:rPr>
          <w:lang w:eastAsia="en-GB"/>
        </w:rPr>
        <w:t>3</w:t>
      </w:r>
      <w:r w:rsidRPr="00541B50">
        <w:rPr>
          <w:lang w:eastAsia="en-GB"/>
        </w:rPr>
        <w:t xml:space="preserve"> may forfeit their right to selection and/or right of access until such time as the subscription be paid.</w:t>
      </w:r>
    </w:p>
    <w:p w14:paraId="57BC6329" w14:textId="77777777" w:rsidR="00D36A37" w:rsidRPr="00541B50" w:rsidRDefault="00D36A37" w:rsidP="00D36A37">
      <w:pPr>
        <w:rPr>
          <w:color w:val="000000"/>
        </w:rPr>
      </w:pPr>
    </w:p>
    <w:bookmarkEnd w:id="0"/>
    <w:p w14:paraId="713505D7" w14:textId="77777777" w:rsidR="00D36A37" w:rsidRDefault="00D36A37" w:rsidP="00D36A37"/>
    <w:p w14:paraId="1A2E032B" w14:textId="77777777" w:rsidR="00D36A37" w:rsidRDefault="00D36A37" w:rsidP="00D36A37"/>
    <w:p w14:paraId="723C380C" w14:textId="77777777" w:rsidR="00D36A37" w:rsidRDefault="00D36A37" w:rsidP="00D36A37"/>
    <w:p w14:paraId="0B3F23BE" w14:textId="77777777" w:rsidR="00D36A37" w:rsidRDefault="00D36A37" w:rsidP="00D36A37"/>
    <w:p w14:paraId="104ADB69" w14:textId="77777777" w:rsidR="00955783" w:rsidRPr="00955783" w:rsidRDefault="00955783" w:rsidP="00955783">
      <w:pPr>
        <w:rPr>
          <w:color w:val="000000"/>
          <w:sz w:val="22"/>
          <w:szCs w:val="22"/>
        </w:rPr>
      </w:pPr>
    </w:p>
    <w:p w14:paraId="22D00524" w14:textId="77777777" w:rsidR="00955783" w:rsidRPr="00955783" w:rsidRDefault="00955783" w:rsidP="00955783">
      <w:pPr>
        <w:rPr>
          <w:sz w:val="22"/>
          <w:szCs w:val="22"/>
          <w:lang w:eastAsia="en-GB"/>
        </w:rPr>
      </w:pPr>
    </w:p>
    <w:p w14:paraId="2162002F" w14:textId="77777777" w:rsidR="003F24AB" w:rsidRPr="00DA1630" w:rsidRDefault="003F24AB" w:rsidP="003F24AB">
      <w:pPr>
        <w:rPr>
          <w:sz w:val="22"/>
          <w:szCs w:val="22"/>
        </w:rPr>
      </w:pPr>
    </w:p>
    <w:p w14:paraId="47ADD734" w14:textId="77777777" w:rsidR="003F24AB" w:rsidRPr="00DA1630" w:rsidRDefault="003F24AB" w:rsidP="001B51E3">
      <w:pPr>
        <w:rPr>
          <w:sz w:val="22"/>
          <w:szCs w:val="22"/>
        </w:rPr>
      </w:pPr>
    </w:p>
    <w:p w14:paraId="7325AE58" w14:textId="77777777" w:rsidR="003F24AB" w:rsidRPr="00DA1630" w:rsidRDefault="003F24AB" w:rsidP="001B51E3">
      <w:pPr>
        <w:rPr>
          <w:sz w:val="22"/>
          <w:szCs w:val="22"/>
        </w:rPr>
      </w:pPr>
    </w:p>
    <w:sectPr w:rsidR="003F24AB" w:rsidRPr="00DA1630" w:rsidSect="00B85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3287" w14:textId="77777777" w:rsidR="00B91B2D" w:rsidRDefault="00B91B2D" w:rsidP="00955783">
      <w:r>
        <w:separator/>
      </w:r>
    </w:p>
  </w:endnote>
  <w:endnote w:type="continuationSeparator" w:id="0">
    <w:p w14:paraId="63C71AB4" w14:textId="77777777" w:rsidR="00B91B2D" w:rsidRDefault="00B91B2D" w:rsidP="009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AF54" w14:textId="77777777" w:rsidR="00EC2D38" w:rsidRDefault="00EC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C9CE" w14:textId="77777777" w:rsidR="00955783" w:rsidRDefault="00955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BAEB" w14:textId="77777777" w:rsidR="00EC2D38" w:rsidRDefault="00EC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6E64" w14:textId="77777777" w:rsidR="00B91B2D" w:rsidRDefault="00B91B2D" w:rsidP="00955783">
      <w:r>
        <w:separator/>
      </w:r>
    </w:p>
  </w:footnote>
  <w:footnote w:type="continuationSeparator" w:id="0">
    <w:p w14:paraId="04255F5A" w14:textId="77777777" w:rsidR="00B91B2D" w:rsidRDefault="00B91B2D" w:rsidP="0095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068A" w14:textId="77777777" w:rsidR="00EC2D38" w:rsidRDefault="00EC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A1BA" w14:textId="77777777" w:rsidR="00EC2D38" w:rsidRDefault="00EC2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0320" w14:textId="77777777" w:rsidR="00EC2D38" w:rsidRDefault="00EC2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B67"/>
    <w:multiLevelType w:val="hybridMultilevel"/>
    <w:tmpl w:val="874E5208"/>
    <w:lvl w:ilvl="0" w:tplc="8018BC52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C3753C"/>
    <w:multiLevelType w:val="hybridMultilevel"/>
    <w:tmpl w:val="3E6AE940"/>
    <w:lvl w:ilvl="0" w:tplc="4C001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93585">
    <w:abstractNumId w:val="1"/>
  </w:num>
  <w:num w:numId="2" w16cid:durableId="89635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CA"/>
    <w:rsid w:val="00002766"/>
    <w:rsid w:val="0004479F"/>
    <w:rsid w:val="00062820"/>
    <w:rsid w:val="000769BB"/>
    <w:rsid w:val="00082BD2"/>
    <w:rsid w:val="000B58EC"/>
    <w:rsid w:val="000B5B41"/>
    <w:rsid w:val="000C4AD4"/>
    <w:rsid w:val="000E7F1E"/>
    <w:rsid w:val="001A1483"/>
    <w:rsid w:val="001B1838"/>
    <w:rsid w:val="001B51E3"/>
    <w:rsid w:val="001C0D55"/>
    <w:rsid w:val="001E77CA"/>
    <w:rsid w:val="00205DE0"/>
    <w:rsid w:val="002109BB"/>
    <w:rsid w:val="00220AD4"/>
    <w:rsid w:val="00223475"/>
    <w:rsid w:val="00280004"/>
    <w:rsid w:val="00280EC2"/>
    <w:rsid w:val="002A1BDF"/>
    <w:rsid w:val="002C618A"/>
    <w:rsid w:val="002F187A"/>
    <w:rsid w:val="002F76F3"/>
    <w:rsid w:val="00315B7F"/>
    <w:rsid w:val="003238C9"/>
    <w:rsid w:val="00354D1B"/>
    <w:rsid w:val="00380B25"/>
    <w:rsid w:val="003A03AD"/>
    <w:rsid w:val="003D1741"/>
    <w:rsid w:val="003F24AB"/>
    <w:rsid w:val="00430D7D"/>
    <w:rsid w:val="00453351"/>
    <w:rsid w:val="00467220"/>
    <w:rsid w:val="00480E57"/>
    <w:rsid w:val="00493B51"/>
    <w:rsid w:val="004B30ED"/>
    <w:rsid w:val="004D1040"/>
    <w:rsid w:val="00517EFC"/>
    <w:rsid w:val="00541B50"/>
    <w:rsid w:val="00555E11"/>
    <w:rsid w:val="005563F4"/>
    <w:rsid w:val="00561775"/>
    <w:rsid w:val="00561DB9"/>
    <w:rsid w:val="00565B10"/>
    <w:rsid w:val="00570112"/>
    <w:rsid w:val="00585157"/>
    <w:rsid w:val="005E165C"/>
    <w:rsid w:val="005F4F68"/>
    <w:rsid w:val="005F7B34"/>
    <w:rsid w:val="006164E1"/>
    <w:rsid w:val="006459F7"/>
    <w:rsid w:val="00652509"/>
    <w:rsid w:val="006565BB"/>
    <w:rsid w:val="006F3766"/>
    <w:rsid w:val="00712866"/>
    <w:rsid w:val="00714792"/>
    <w:rsid w:val="007645D5"/>
    <w:rsid w:val="00765542"/>
    <w:rsid w:val="00785111"/>
    <w:rsid w:val="007F022F"/>
    <w:rsid w:val="00811D9B"/>
    <w:rsid w:val="00832CE9"/>
    <w:rsid w:val="00853F8D"/>
    <w:rsid w:val="0086111D"/>
    <w:rsid w:val="00884B4B"/>
    <w:rsid w:val="0088663D"/>
    <w:rsid w:val="008B6273"/>
    <w:rsid w:val="008E57F9"/>
    <w:rsid w:val="008F16E1"/>
    <w:rsid w:val="00926303"/>
    <w:rsid w:val="00943444"/>
    <w:rsid w:val="00955783"/>
    <w:rsid w:val="009A3A12"/>
    <w:rsid w:val="00A110D3"/>
    <w:rsid w:val="00A16BE1"/>
    <w:rsid w:val="00A80051"/>
    <w:rsid w:val="00A94836"/>
    <w:rsid w:val="00AB74FA"/>
    <w:rsid w:val="00B03951"/>
    <w:rsid w:val="00B72A47"/>
    <w:rsid w:val="00B85F8B"/>
    <w:rsid w:val="00B91B2D"/>
    <w:rsid w:val="00B91FF9"/>
    <w:rsid w:val="00BB003C"/>
    <w:rsid w:val="00BD7A58"/>
    <w:rsid w:val="00BE5860"/>
    <w:rsid w:val="00C0733B"/>
    <w:rsid w:val="00C4199B"/>
    <w:rsid w:val="00C51301"/>
    <w:rsid w:val="00C532AE"/>
    <w:rsid w:val="00C61585"/>
    <w:rsid w:val="00CB1B2D"/>
    <w:rsid w:val="00CC3648"/>
    <w:rsid w:val="00CC683B"/>
    <w:rsid w:val="00CC7FAF"/>
    <w:rsid w:val="00CD0E49"/>
    <w:rsid w:val="00CD210E"/>
    <w:rsid w:val="00CE2218"/>
    <w:rsid w:val="00D068AB"/>
    <w:rsid w:val="00D36A37"/>
    <w:rsid w:val="00D471E2"/>
    <w:rsid w:val="00D651D4"/>
    <w:rsid w:val="00D65428"/>
    <w:rsid w:val="00DA1630"/>
    <w:rsid w:val="00DE3E18"/>
    <w:rsid w:val="00DF4372"/>
    <w:rsid w:val="00E00669"/>
    <w:rsid w:val="00E15022"/>
    <w:rsid w:val="00E54EA6"/>
    <w:rsid w:val="00E66522"/>
    <w:rsid w:val="00E95472"/>
    <w:rsid w:val="00EC20B2"/>
    <w:rsid w:val="00EC28EF"/>
    <w:rsid w:val="00EC2D38"/>
    <w:rsid w:val="00EC5E32"/>
    <w:rsid w:val="00EC7333"/>
    <w:rsid w:val="00F33C55"/>
    <w:rsid w:val="00F45E3C"/>
    <w:rsid w:val="00F63909"/>
    <w:rsid w:val="00F87AA4"/>
    <w:rsid w:val="00FA4317"/>
    <w:rsid w:val="00FC2A6B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69B69"/>
  <w15:docId w15:val="{0AAEC23D-A967-4D25-B09A-B9D78E3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1E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FC"/>
    <w:pPr>
      <w:ind w:left="720"/>
      <w:contextualSpacing/>
    </w:pPr>
  </w:style>
  <w:style w:type="table" w:styleId="TableGrid">
    <w:name w:val="Table Grid"/>
    <w:basedOn w:val="TableNormal"/>
    <w:rsid w:val="00DE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55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578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moss</cp:lastModifiedBy>
  <cp:revision>6</cp:revision>
  <cp:lastPrinted>2021-10-22T08:16:00Z</cp:lastPrinted>
  <dcterms:created xsi:type="dcterms:W3CDTF">2022-10-03T15:44:00Z</dcterms:created>
  <dcterms:modified xsi:type="dcterms:W3CDTF">2022-11-22T15:40:00Z</dcterms:modified>
</cp:coreProperties>
</file>